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A6F" w:rsidRDefault="00C41577">
      <w:pPr>
        <w:rPr>
          <w:rFonts w:ascii="Times New Roman" w:hAnsi="Times New Roman" w:cs="Times New Roman"/>
          <w:b/>
          <w:sz w:val="24"/>
          <w:szCs w:val="24"/>
        </w:rPr>
      </w:pPr>
      <w:r w:rsidRPr="00C41577">
        <w:rPr>
          <w:rFonts w:ascii="Times New Roman" w:hAnsi="Times New Roman" w:cs="Times New Roman"/>
          <w:b/>
          <w:sz w:val="24"/>
          <w:szCs w:val="24"/>
        </w:rPr>
        <w:t>Opis przedmiotu zamówienia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41577" w:rsidRPr="00C41577" w:rsidRDefault="00C41577">
      <w:pPr>
        <w:rPr>
          <w:rFonts w:ascii="Times New Roman" w:hAnsi="Times New Roman" w:cs="Times New Roman"/>
          <w:sz w:val="24"/>
          <w:szCs w:val="24"/>
        </w:rPr>
      </w:pPr>
      <w:r w:rsidRPr="00C41577">
        <w:rPr>
          <w:rFonts w:ascii="Times New Roman" w:hAnsi="Times New Roman" w:cs="Times New Roman"/>
          <w:sz w:val="24"/>
          <w:szCs w:val="24"/>
        </w:rPr>
        <w:t>Zakup i dostawa 38 sztuk nowych (wyprodukowanych nie później niż w 2019 roku) komputerów przenośnych (laptopów).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41577" w:rsidRPr="00C41577" w:rsidTr="00B60590">
        <w:tc>
          <w:tcPr>
            <w:tcW w:w="2830" w:type="dxa"/>
          </w:tcPr>
          <w:p w:rsidR="00C41577" w:rsidRPr="00C41577" w:rsidRDefault="00C41577" w:rsidP="00C41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b/>
                <w:sz w:val="24"/>
                <w:szCs w:val="24"/>
              </w:rPr>
              <w:t>ATRYBUT</w:t>
            </w:r>
          </w:p>
        </w:tc>
        <w:tc>
          <w:tcPr>
            <w:tcW w:w="6232" w:type="dxa"/>
          </w:tcPr>
          <w:p w:rsidR="00C41577" w:rsidRPr="00C41577" w:rsidRDefault="00C41577" w:rsidP="00C41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b/>
                <w:sz w:val="24"/>
                <w:szCs w:val="24"/>
              </w:rPr>
              <w:t>SPOSÓB OKREŚLENIA</w:t>
            </w:r>
          </w:p>
        </w:tc>
      </w:tr>
      <w:tr w:rsidR="00C41577" w:rsidRPr="00C41577" w:rsidTr="00B60590">
        <w:tc>
          <w:tcPr>
            <w:tcW w:w="2830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typ</w:t>
            </w:r>
          </w:p>
        </w:tc>
        <w:tc>
          <w:tcPr>
            <w:tcW w:w="6232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 xml:space="preserve">komputer przenośny typu notebook z ekranem 15,6” </w:t>
            </w:r>
            <w:r w:rsidRPr="00C41577">
              <w:rPr>
                <w:rFonts w:ascii="Times New Roman" w:hAnsi="Times New Roman" w:cs="Times New Roman"/>
                <w:sz w:val="24"/>
                <w:szCs w:val="24"/>
              </w:rPr>
              <w:br/>
              <w:t>o rozdzielczości FHD (1920x1080) w technologii LED, jasność min. 220 nitów, kontrast min. 300:1</w:t>
            </w:r>
          </w:p>
        </w:tc>
      </w:tr>
      <w:tr w:rsidR="00C41577" w:rsidRPr="00C41577" w:rsidTr="00B60590">
        <w:tc>
          <w:tcPr>
            <w:tcW w:w="2830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zastosowanie</w:t>
            </w:r>
          </w:p>
        </w:tc>
        <w:tc>
          <w:tcPr>
            <w:tcW w:w="6232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Komputer będzie wykorzystywany dla potrzeb nauki zdalnej, aplikacji biurowych, aplikacji edukacyjnych, aplika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cji obliczeniowych, dostępu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nternetu</w:t>
            </w:r>
            <w:proofErr w:type="spellEnd"/>
            <w:r w:rsidRPr="00C41577">
              <w:rPr>
                <w:rFonts w:ascii="Times New Roman" w:hAnsi="Times New Roman" w:cs="Times New Roman"/>
                <w:sz w:val="24"/>
                <w:szCs w:val="24"/>
              </w:rPr>
              <w:t xml:space="preserve"> oraz poczty elektronicznej, terminal do wideokonferencji</w:t>
            </w:r>
          </w:p>
        </w:tc>
      </w:tr>
      <w:tr w:rsidR="00C41577" w:rsidRPr="00C41577" w:rsidTr="00B60590">
        <w:tc>
          <w:tcPr>
            <w:tcW w:w="2830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procesor</w:t>
            </w:r>
          </w:p>
        </w:tc>
        <w:tc>
          <w:tcPr>
            <w:tcW w:w="6232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 xml:space="preserve">procesor klasy x86, 2 rdzeniowy, zaprojektowany do pracy </w:t>
            </w:r>
            <w:r w:rsidRPr="00C41577">
              <w:rPr>
                <w:rFonts w:ascii="Times New Roman" w:hAnsi="Times New Roman" w:cs="Times New Roman"/>
                <w:sz w:val="24"/>
                <w:szCs w:val="24"/>
              </w:rPr>
              <w:br/>
              <w:t>w komputerach przenośnych, taktowany zegarem min: 2,20 GHz, z pamięcią cache L3 co najmniej 4 MB, TDP 15W lub równoważny 2 rdzeniowy procesor klasy x86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 xml:space="preserve">zaoferowany procesor musi uzyskiwać jednocześnie w teście </w:t>
            </w:r>
            <w:proofErr w:type="spellStart"/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C41577">
              <w:rPr>
                <w:rFonts w:ascii="Times New Roman" w:hAnsi="Times New Roman" w:cs="Times New Roman"/>
                <w:sz w:val="24"/>
                <w:szCs w:val="24"/>
              </w:rPr>
              <w:t xml:space="preserve"> CPU Mark wynik min.: 2500 punktów (wynik zaproponowanego procesora musi znajdować się na stronie: </w:t>
            </w:r>
            <w:hyperlink r:id="rId4" w:history="1">
              <w:r w:rsidRPr="00C415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https://www.cpubenchmark.net/</w:t>
              </w:r>
            </w:hyperlink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) – wydruk ze strony (wykonany nie wcześniej niż w dniu ogłoszenia zamówienia) należy dołączyć do oferty</w:t>
            </w:r>
            <w:r w:rsidR="008F61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w przypadku użycia przez oferenta testów wydajności Zamawiający zastrzega sobie, iż w celu sprawdzenia poprawności przeprowadzenia testów oferent musi dostarczyć zamawiającemu oprogramowanie testujące, oba równoważne porównywalne zestawy oraz dokładny opis użytych testów wraz z wynikami w celu ich sprawdzenia w terminie nie dłuższym niż 3 dni od otrzymania zawiadomienia od zamawiającego</w:t>
            </w:r>
          </w:p>
        </w:tc>
      </w:tr>
      <w:tr w:rsidR="00C41577" w:rsidRPr="00C41577" w:rsidTr="00B60590">
        <w:tc>
          <w:tcPr>
            <w:tcW w:w="2830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pamięć operacyjna RAM</w:t>
            </w:r>
          </w:p>
        </w:tc>
        <w:tc>
          <w:tcPr>
            <w:tcW w:w="6232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1 x 8GB DDR4-2400</w:t>
            </w:r>
          </w:p>
        </w:tc>
      </w:tr>
      <w:tr w:rsidR="00C41577" w:rsidRPr="00C41577" w:rsidTr="00B60590">
        <w:tc>
          <w:tcPr>
            <w:tcW w:w="2830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parametry pamięci masowej</w:t>
            </w:r>
          </w:p>
        </w:tc>
        <w:tc>
          <w:tcPr>
            <w:tcW w:w="6232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min. 240 GB SSD M.2 </w:t>
            </w:r>
            <w:proofErr w:type="spellStart"/>
            <w:r w:rsidRPr="00C41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NVMe</w:t>
            </w:r>
            <w:proofErr w:type="spellEnd"/>
          </w:p>
        </w:tc>
      </w:tr>
      <w:tr w:rsidR="00C41577" w:rsidRPr="00C41577" w:rsidTr="00B60590">
        <w:tc>
          <w:tcPr>
            <w:tcW w:w="2830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karta graficzna</w:t>
            </w:r>
          </w:p>
        </w:tc>
        <w:tc>
          <w:tcPr>
            <w:tcW w:w="6232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 xml:space="preserve">zintegrowana w procesorze z możliwością dynamicznego przydzielenia pamięci systemowej, ze sprzętowym wsparciem dla DirectX12, osiągająca w teście </w:t>
            </w:r>
            <w:proofErr w:type="spellStart"/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  <w:proofErr w:type="spellEnd"/>
            <w:r w:rsidRPr="00C41577">
              <w:rPr>
                <w:rFonts w:ascii="Times New Roman" w:hAnsi="Times New Roman" w:cs="Times New Roman"/>
                <w:sz w:val="24"/>
                <w:szCs w:val="24"/>
              </w:rPr>
              <w:t xml:space="preserve"> G3D Mark wynik na poziomie min.: 850 punktów (wynik zaproponowanej grafiki musi znajdować się na stronie </w:t>
            </w:r>
            <w:hyperlink r:id="rId5" w:history="1">
              <w:r w:rsidRPr="00C415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http://www.videobenchmark.net</w:t>
              </w:r>
            </w:hyperlink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) – wydruk ze strony należy dołączyć do oferty</w:t>
            </w:r>
          </w:p>
        </w:tc>
      </w:tr>
      <w:tr w:rsidR="00C41577" w:rsidRPr="00C41577" w:rsidTr="00B60590">
        <w:tc>
          <w:tcPr>
            <w:tcW w:w="2830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wyposażenie multimedialne</w:t>
            </w:r>
          </w:p>
        </w:tc>
        <w:tc>
          <w:tcPr>
            <w:tcW w:w="6232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karta dźwiękowa stereo, wbudowane 2 głośniki (stereo), wbudowany w obudowę matrycy mikrofon wraz z kamerą HD</w:t>
            </w:r>
          </w:p>
        </w:tc>
      </w:tr>
      <w:tr w:rsidR="00C41577" w:rsidRPr="00C41577" w:rsidTr="00B60590">
        <w:tc>
          <w:tcPr>
            <w:tcW w:w="2830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wymagania dotyczące baterii i zasilania</w:t>
            </w:r>
          </w:p>
        </w:tc>
        <w:tc>
          <w:tcPr>
            <w:tcW w:w="6232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 xml:space="preserve">3-komorowa, 35Wh, Li – </w:t>
            </w:r>
            <w:proofErr w:type="spellStart"/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Ion</w:t>
            </w:r>
            <w:proofErr w:type="spellEnd"/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, czas pracy na baterii wg. dokumentacji producenta min. 4h, zasilacz o mocy min. 40W</w:t>
            </w:r>
          </w:p>
        </w:tc>
      </w:tr>
      <w:tr w:rsidR="00C41577" w:rsidRPr="00C41577" w:rsidTr="00B60590">
        <w:tc>
          <w:tcPr>
            <w:tcW w:w="2830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system operacyjny</w:t>
            </w:r>
          </w:p>
        </w:tc>
        <w:tc>
          <w:tcPr>
            <w:tcW w:w="6232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 xml:space="preserve">preinstalowany oryginalny, licencjonowany 64 – bitowy system operacyjny w języku polskim, w najnowszej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1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 dostępnych na rynku wersji, nie wymagający aktywacji za pomocą telefonu lub Internetu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parametry wymagane: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- pełna obsługa wszystkich podzespołów sprzętowych dostarczanego sprzętu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577" w:rsidRPr="00C41577" w:rsidTr="00B60590">
        <w:tc>
          <w:tcPr>
            <w:tcW w:w="2830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certyfikaty i standardy</w:t>
            </w:r>
          </w:p>
        </w:tc>
        <w:tc>
          <w:tcPr>
            <w:tcW w:w="6232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certyfikat ISO9001:2000 dla producenta sprzętu (należy załączyć do oferty),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certyfikat ISO 14001 dla producenta sprzętu (należy załączyć do oferty)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 xml:space="preserve">potwierdzenie spełnienia kryteriów środowiskowych, w tym zgodności z dyrektywą </w:t>
            </w:r>
            <w:proofErr w:type="spellStart"/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RoHS</w:t>
            </w:r>
            <w:proofErr w:type="spellEnd"/>
            <w:r w:rsidRPr="00C41577">
              <w:rPr>
                <w:rFonts w:ascii="Times New Roman" w:hAnsi="Times New Roman" w:cs="Times New Roman"/>
                <w:sz w:val="24"/>
                <w:szCs w:val="24"/>
              </w:rPr>
              <w:t xml:space="preserve"> Unii Europejskiej o eliminacji substancji niebezpiecznych w postaci oświadczenia producenta jednostki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 xml:space="preserve">certyfikat EPEAT 2019 na poziomie SILVER dla Polski, wymagany wpis dotyczący oferowanej stacji dostępowej w internetowym katalogu </w:t>
            </w:r>
            <w:hyperlink r:id="rId6" w:history="1">
              <w:r w:rsidRPr="00C415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http://www.epeat.net</w:t>
              </w:r>
            </w:hyperlink>
            <w:r w:rsidRPr="00C41577">
              <w:rPr>
                <w:rFonts w:ascii="Times New Roman" w:hAnsi="Times New Roman" w:cs="Times New Roman"/>
                <w:sz w:val="24"/>
                <w:szCs w:val="24"/>
              </w:rPr>
              <w:t xml:space="preserve"> – dopuszcza się wydruk ze strony internetowej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 xml:space="preserve">certyfikat Energy Star 6.1 – komputer musi znajdować się na liście zgodności dostępnej na stronie </w:t>
            </w:r>
            <w:hyperlink r:id="rId7" w:history="1">
              <w:r w:rsidRPr="00C415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www.energystar.gov</w:t>
              </w:r>
            </w:hyperlink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C41577" w:rsidRPr="00C41577" w:rsidTr="00B60590">
        <w:tc>
          <w:tcPr>
            <w:tcW w:w="2830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ergonomia</w:t>
            </w:r>
          </w:p>
        </w:tc>
        <w:tc>
          <w:tcPr>
            <w:tcW w:w="6232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głośność jednostki centralnej mierzona zgodnie z normą ISO 7779 oraz wykazana zgodnie z normą ISO 9296 w pozycji operatora w trybie IDLE wynosząca maksymalnie 25dB (wartość do zweryfikowania w dokumentacji technicznej komputera oraz oświadczenia producenta).</w:t>
            </w:r>
          </w:p>
        </w:tc>
      </w:tr>
      <w:tr w:rsidR="00C41577" w:rsidRPr="00C41577" w:rsidTr="00B60590">
        <w:tc>
          <w:tcPr>
            <w:tcW w:w="2830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waga i wymiary</w:t>
            </w:r>
          </w:p>
        </w:tc>
        <w:tc>
          <w:tcPr>
            <w:tcW w:w="6232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waga max. 1.9kg z baterią 3-komorową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szerokość: max: 380 mm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wysokość z przodu: max. 238 mm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głębokość: max. 250 mm</w:t>
            </w:r>
          </w:p>
        </w:tc>
      </w:tr>
      <w:tr w:rsidR="00C41577" w:rsidRPr="00C41577" w:rsidTr="00B60590">
        <w:tc>
          <w:tcPr>
            <w:tcW w:w="2830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BIOS</w:t>
            </w:r>
          </w:p>
        </w:tc>
        <w:tc>
          <w:tcPr>
            <w:tcW w:w="6232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Możliwość odczytania z BIOS: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- wersji BIOS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- modelu procesora, prędkości procesora,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- informacji o ilości pamięci RAM,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- informacji o numerze seryjnym,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Możliwość wyłączenia/włączenia: wirtualizacji z poziomu BIOS bez uruchamiania systemu operacyjnego z dysku twardego komputera lub innych podłączonych do niego urządzeń zewnętrznych</w:t>
            </w:r>
          </w:p>
        </w:tc>
      </w:tr>
      <w:tr w:rsidR="00C41577" w:rsidRPr="00C41577" w:rsidTr="00B60590">
        <w:tc>
          <w:tcPr>
            <w:tcW w:w="2830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bezpieczeństwo</w:t>
            </w:r>
          </w:p>
        </w:tc>
        <w:tc>
          <w:tcPr>
            <w:tcW w:w="6232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FW TPM 2.0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41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Złącze</w:t>
            </w:r>
            <w:proofErr w:type="spellEnd"/>
            <w:r w:rsidRPr="00C41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typu</w:t>
            </w:r>
            <w:proofErr w:type="spellEnd"/>
            <w:r w:rsidRPr="00C41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Kensington Lock</w:t>
            </w:r>
          </w:p>
        </w:tc>
      </w:tr>
      <w:tr w:rsidR="00C41577" w:rsidRPr="00C41577" w:rsidTr="00B60590">
        <w:tc>
          <w:tcPr>
            <w:tcW w:w="2830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warunki gwarancji</w:t>
            </w:r>
          </w:p>
        </w:tc>
        <w:tc>
          <w:tcPr>
            <w:tcW w:w="6232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2 – letnia gwarancja producenta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Firma serwisująca musi posiadać ISO 9001:2000 na świadczenie usług serwisowych oraz posiadać autoryzacje producenta komputera – dokumenty potwierdzające załączyć do oferty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Serwis urządzeń musi być realizowany przez Producenta lub Autoryzowanego Partnera Serwisowego Producenta – wymagane dołączenie do oferty oświadczenia Wykonawcy potwierdzonego przez Producenta, że serwis będzie realizowany przez Producenta lub Autoryzowanego Partnera Serwisowego Producenta</w:t>
            </w:r>
          </w:p>
        </w:tc>
      </w:tr>
      <w:tr w:rsidR="00C41577" w:rsidRPr="00C41577" w:rsidTr="00B60590">
        <w:tc>
          <w:tcPr>
            <w:tcW w:w="2830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wymagania dodatkowe</w:t>
            </w:r>
          </w:p>
        </w:tc>
        <w:tc>
          <w:tcPr>
            <w:tcW w:w="6232" w:type="dxa"/>
          </w:tcPr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Wbudowane porty i złącza: 1 x HDMI 1.4, 2 x USB 3.1 Gen.1, 1 x USB 2.0, RJ-45, 1 x złącze słuchawkowe/mikrofonowe, czytnik kart multimedialnych SD/SDHC/SDXC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Karta sieciowa LAN 10/100/1000 Ethernet RJ 45 zintegrowana z płytą główną oraz WLAN (802.11 b/g/n/</w:t>
            </w:r>
            <w:proofErr w:type="spellStart"/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proofErr w:type="spellEnd"/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 xml:space="preserve">Bluetooth 4.2 (COMBO), zintegrowany z płytą główną lub </w:t>
            </w:r>
            <w:r w:rsidRPr="00C41577">
              <w:rPr>
                <w:rFonts w:ascii="Times New Roman" w:hAnsi="Times New Roman" w:cs="Times New Roman"/>
                <w:sz w:val="24"/>
                <w:szCs w:val="24"/>
              </w:rPr>
              <w:br/>
              <w:t>w postaci wewnętrznego modułu mini-PCI Express</w:t>
            </w: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577" w:rsidRPr="00C41577" w:rsidRDefault="00C41577" w:rsidP="00C4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77">
              <w:rPr>
                <w:rFonts w:ascii="Times New Roman" w:hAnsi="Times New Roman" w:cs="Times New Roman"/>
                <w:sz w:val="24"/>
                <w:szCs w:val="24"/>
              </w:rPr>
              <w:t xml:space="preserve">Klawiatura QWERTY (układ US/EN) z wydzieloną strefą klawiszy numerycznych, </w:t>
            </w:r>
            <w:proofErr w:type="spellStart"/>
            <w:r w:rsidRPr="00C41577">
              <w:rPr>
                <w:rFonts w:ascii="Times New Roman" w:hAnsi="Times New Roman" w:cs="Times New Roman"/>
                <w:sz w:val="24"/>
                <w:szCs w:val="24"/>
              </w:rPr>
              <w:t>touchpad</w:t>
            </w:r>
            <w:proofErr w:type="spellEnd"/>
          </w:p>
        </w:tc>
      </w:tr>
    </w:tbl>
    <w:p w:rsidR="000B6CF2" w:rsidRPr="000B6CF2" w:rsidRDefault="000B6CF2" w:rsidP="000B6CF2">
      <w:pPr>
        <w:widowControl w:val="0"/>
        <w:tabs>
          <w:tab w:val="left" w:pos="426"/>
          <w:tab w:val="left" w:pos="850"/>
        </w:tabs>
        <w:suppressAutoHyphens/>
        <w:snapToGrid w:val="0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0B6C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Wyżej  wymienione  parametry techniczne   sprzętu   określone  przez  Zamawiającego podane są   jako minimalne. Oferta  nie  spełniająca    podanych wyżej   minimalnych  parametrów  będzie  odrzucona. </w:t>
      </w:r>
    </w:p>
    <w:p w:rsidR="00C41577" w:rsidRPr="000B6CF2" w:rsidRDefault="000B6CF2" w:rsidP="000B6CF2">
      <w:pPr>
        <w:rPr>
          <w:rFonts w:ascii="Times New Roman" w:hAnsi="Times New Roman" w:cs="Times New Roman"/>
          <w:sz w:val="24"/>
          <w:szCs w:val="24"/>
        </w:rPr>
      </w:pPr>
      <w:r w:rsidRPr="000B6CF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Wykonawca  może    sporządzić  ofertę   dostawy  sprzętu komputerowego                                 o  wyższych   parametrach aniżeli  podane  w  niniejszym  załączniku</w:t>
      </w:r>
    </w:p>
    <w:sectPr w:rsidR="00C41577" w:rsidRPr="000B6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77"/>
    <w:rsid w:val="000B6CF2"/>
    <w:rsid w:val="00385D1B"/>
    <w:rsid w:val="008F61B6"/>
    <w:rsid w:val="00B25A6F"/>
    <w:rsid w:val="00C41577"/>
    <w:rsid w:val="00DF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CD5D2-94F8-4633-9BA1-2BCCAEB9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1577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nergystar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peat.net" TargetMode="External"/><Relationship Id="rId5" Type="http://schemas.openxmlformats.org/officeDocument/2006/relationships/hyperlink" Target="http://www.videobenchmark.net" TargetMode="External"/><Relationship Id="rId4" Type="http://schemas.openxmlformats.org/officeDocument/2006/relationships/hyperlink" Target="https://www.cpubenchmark.ne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784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Agnieszka Ulanowska</cp:lastModifiedBy>
  <cp:revision>3</cp:revision>
  <dcterms:created xsi:type="dcterms:W3CDTF">2020-06-03T11:19:00Z</dcterms:created>
  <dcterms:modified xsi:type="dcterms:W3CDTF">2020-06-09T07:51:00Z</dcterms:modified>
</cp:coreProperties>
</file>